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2FC5">
      <w:pPr>
        <w:rPr>
          <w:rFonts w:hint="eastAsia" w:ascii="方正大雅宋简体" w:hAnsi="方正大雅宋简体" w:eastAsia="方正大雅宋简体" w:cs="方正大雅宋简体"/>
          <w:i/>
          <w:iCs/>
          <w:color w:val="1D2778"/>
          <w:sz w:val="44"/>
          <w:szCs w:val="44"/>
          <w:lang w:val="en-US" w:eastAsia="zh-CN"/>
        </w:rPr>
      </w:pPr>
      <w:r>
        <w:rPr>
          <w:rFonts w:hint="eastAsia" w:ascii="方正大雅宋简体" w:hAnsi="方正大雅宋简体" w:eastAsia="方正大雅宋简体" w:cs="方正大雅宋简体"/>
          <w:i/>
          <w:iCs/>
          <w:color w:val="1D2778"/>
          <w:sz w:val="44"/>
          <w:szCs w:val="44"/>
          <w:lang w:val="en-US" w:eastAsia="zh-CN"/>
        </w:rPr>
        <w:t>China Standardization</w:t>
      </w:r>
    </w:p>
    <w:p w14:paraId="5D6AF177">
      <w:pPr>
        <w:rPr>
          <w:rFonts w:hint="eastAsia" w:ascii="方正大雅宋简体" w:hAnsi="方正大雅宋简体" w:eastAsia="方正大雅宋简体" w:cs="方正大雅宋简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3294380" cy="7620"/>
                <wp:effectExtent l="15875" t="15875" r="23495" b="336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9980" y="1614170"/>
                          <a:ext cx="3294380" cy="762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1D2778">
                              <a:alpha val="78000"/>
                            </a:srgbClr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0.35pt;height:0.6pt;width:259.4pt;z-index:251659264;mso-width-relative:page;mso-height-relative:page;" filled="f" stroked="t" coordsize="21600,21600" o:gfxdata="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3ObqdEAAAAE&#10;AQAADwAAAAAAAAABACAAAAAiAAAAZHJzL2Rvd25yZXYueG1sUEsBAhQAFAAAAAgAh07iQJ6F6nTq&#10;AQAArwMAAA4AAAAAAAAAAQAgAAAAIAEAAGRycy9lMm9Eb2MueG1sUEsFBgAAAAAGAAYAWQEAAHwF&#10;AAAAAA==&#10;">
                <v:fill on="f" focussize="0,0"/>
                <v:stroke weight="2.5pt" color="#1D2778" opacity="51118f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1D2778"/>
          <w:sz w:val="36"/>
          <w:szCs w:val="36"/>
          <w:lang w:val="en-US" w:eastAsia="zh-CN"/>
        </w:rPr>
        <w:t>Subscription Form</w:t>
      </w:r>
    </w:p>
    <w:tbl>
      <w:tblPr>
        <w:tblStyle w:val="5"/>
        <w:tblpPr w:leftFromText="180" w:rightFromText="180" w:vertAnchor="text" w:horzAnchor="page" w:tblpX="1970" w:tblpY="174"/>
        <w:tblOverlap w:val="never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2F39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p w14:paraId="4D3D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Subscriber</w:t>
            </w:r>
          </w:p>
        </w:tc>
      </w:tr>
      <w:tr w14:paraId="44CB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Spec="left" w:tblpY="-1725"/>
              <w:tblOverlap w:val="never"/>
              <w:tblW w:w="80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6"/>
              <w:gridCol w:w="5959"/>
            </w:tblGrid>
            <w:tr w14:paraId="046DA3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465379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Name/Post:</w:t>
                  </w:r>
                </w:p>
              </w:tc>
              <w:tc>
                <w:tcPr>
                  <w:tcW w:w="5959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EBF0FA"/>
                  <w:vAlign w:val="center"/>
                </w:tcPr>
                <w:p w14:paraId="30898A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Mr./Ms.</w:t>
                  </w:r>
                </w:p>
              </w:tc>
            </w:tr>
            <w:tr w14:paraId="0A5906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575E54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Organization: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143E6B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</w:tr>
            <w:tr w14:paraId="23835F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08FC98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E-mail: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7BCBE9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6E23A56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7D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p w14:paraId="75AB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Subscription Information</w:t>
            </w:r>
          </w:p>
        </w:tc>
      </w:tr>
      <w:tr w14:paraId="1B56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Spec="left" w:tblpY="-2771"/>
              <w:tblOverlap w:val="never"/>
              <w:tblW w:w="80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6"/>
              <w:gridCol w:w="1170"/>
              <w:gridCol w:w="1332"/>
              <w:gridCol w:w="1333"/>
              <w:gridCol w:w="2124"/>
            </w:tblGrid>
            <w:tr w14:paraId="0E9B7E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625F4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Journal</w:t>
                  </w:r>
                </w:p>
              </w:tc>
              <w:tc>
                <w:tcPr>
                  <w:tcW w:w="1170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26BB1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Price</w:t>
                  </w:r>
                </w:p>
              </w:tc>
              <w:tc>
                <w:tcPr>
                  <w:tcW w:w="1332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00D069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Quantity</w:t>
                  </w:r>
                </w:p>
              </w:tc>
              <w:tc>
                <w:tcPr>
                  <w:tcW w:w="1333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0C3FA4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Total</w:t>
                  </w:r>
                </w:p>
              </w:tc>
              <w:tc>
                <w:tcPr>
                  <w:tcW w:w="2124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1C0C91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Issue Start Date</w:t>
                  </w:r>
                </w:p>
              </w:tc>
            </w:tr>
            <w:tr w14:paraId="38CF7E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7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B5C6EA"/>
                  <w:vAlign w:val="center"/>
                </w:tcPr>
                <w:p w14:paraId="2BD7DE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/>
                      <w:iCs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China Standardization</w:t>
                  </w:r>
                </w:p>
              </w:tc>
              <w:tc>
                <w:tcPr>
                  <w:tcW w:w="1170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B5C6EA"/>
                  <w:vAlign w:val="center"/>
                </w:tcPr>
                <w:p w14:paraId="65638B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USD 6.00</w:t>
                  </w:r>
                </w:p>
              </w:tc>
              <w:tc>
                <w:tcPr>
                  <w:tcW w:w="1332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B5C6EA"/>
                  <w:vAlign w:val="center"/>
                </w:tcPr>
                <w:p w14:paraId="08B4A4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B5C6EA"/>
                  <w:vAlign w:val="center"/>
                </w:tcPr>
                <w:p w14:paraId="59C479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24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B5C6EA"/>
                  <w:vAlign w:val="center"/>
                </w:tcPr>
                <w:p w14:paraId="797C57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</w:tr>
            <w:tr w14:paraId="22BF11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7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EBF0FA"/>
                  <w:vAlign w:val="center"/>
                </w:tcPr>
                <w:p w14:paraId="1FD15C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Subscription Description</w:t>
                  </w:r>
                </w:p>
              </w:tc>
              <w:tc>
                <w:tcPr>
                  <w:tcW w:w="5959" w:type="dxa"/>
                  <w:gridSpan w:val="4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EBF0FA"/>
                  <w:vAlign w:val="center"/>
                </w:tcPr>
                <w:p w14:paraId="2F183B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The magazine is published bimonthly, and the digital version is available for overseas subscribers. Single issue, multiple issues and whole year subscription are all welcomed. USD 6.00 per issue.</w:t>
                  </w:r>
                </w:p>
              </w:tc>
            </w:tr>
          </w:tbl>
          <w:p w14:paraId="054F5D7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3A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p w14:paraId="4499CE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Remittance Information</w:t>
            </w:r>
          </w:p>
        </w:tc>
      </w:tr>
      <w:tr w14:paraId="2200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Spec="left" w:tblpY="-1312"/>
              <w:tblOverlap w:val="never"/>
              <w:tblW w:w="80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6"/>
              <w:gridCol w:w="5959"/>
            </w:tblGrid>
            <w:tr w14:paraId="00A6AD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738DAF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Account Name:</w:t>
                  </w:r>
                </w:p>
              </w:tc>
              <w:tc>
                <w:tcPr>
                  <w:tcW w:w="5959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EBF0FA"/>
                  <w:vAlign w:val="center"/>
                </w:tcPr>
                <w:p w14:paraId="1C5573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China Standardization Press Co., Ltd.</w:t>
                  </w:r>
                </w:p>
              </w:tc>
            </w:tr>
            <w:tr w14:paraId="186519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68DB60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Bank: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427EEF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Beijing Yayuncun Branch, Jiaotong Bank</w:t>
                  </w:r>
                  <w:bookmarkStart w:id="0" w:name="_GoBack"/>
                  <w:bookmarkEnd w:id="0"/>
                </w:p>
              </w:tc>
            </w:tr>
            <w:tr w14:paraId="54A685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6E5157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Account Number: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54CB5F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110060210018170129285</w:t>
                  </w:r>
                </w:p>
              </w:tc>
            </w:tr>
          </w:tbl>
          <w:p w14:paraId="3CB472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9F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p w14:paraId="36BD53FB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Contact</w:t>
            </w:r>
          </w:p>
        </w:tc>
      </w:tr>
      <w:tr w14:paraId="482D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Spec="left" w:tblpY="-2057"/>
              <w:tblOverlap w:val="never"/>
              <w:tblW w:w="80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6"/>
              <w:gridCol w:w="5959"/>
            </w:tblGrid>
            <w:tr w14:paraId="1BF192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36ED1C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Address: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2FB5E6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Building No. 51 Tiantong Zhongyuan, Changping District, Beijing, China, 102218</w:t>
                  </w:r>
                </w:p>
              </w:tc>
            </w:tr>
            <w:tr w14:paraId="303A48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16" w:type="dxa"/>
                  <w:tcBorders>
                    <w:top w:val="single" w:color="91AADF" w:sz="8" w:space="0"/>
                    <w:left w:val="single" w:color="91AADF" w:sz="8" w:space="0"/>
                    <w:bottom w:val="single" w:color="91AADF" w:sz="8" w:space="0"/>
                    <w:right w:val="single" w:color="91AADF" w:sz="8" w:space="0"/>
                  </w:tcBorders>
                  <w:shd w:val="clear" w:color="auto" w:fill="4874CB"/>
                  <w:vAlign w:val="center"/>
                </w:tcPr>
                <w:p w14:paraId="1E4D47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FFFF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E-mail:</w:t>
                  </w:r>
                </w:p>
              </w:tc>
              <w:tc>
                <w:tcPr>
                  <w:tcW w:w="5959" w:type="dxa"/>
                  <w:tcBorders>
                    <w:top w:val="single" w:color="4874CB" w:sz="4" w:space="0"/>
                    <w:left w:val="single" w:color="4874CB" w:sz="4" w:space="0"/>
                    <w:bottom w:val="single" w:color="4874CB" w:sz="4" w:space="0"/>
                    <w:right w:val="single" w:color="4874CB" w:sz="4" w:space="0"/>
                  </w:tcBorders>
                  <w:shd w:val="clear" w:color="auto" w:fill="D9E1F4"/>
                  <w:noWrap/>
                  <w:vAlign w:val="center"/>
                </w:tcPr>
                <w:p w14:paraId="6AD6E3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lef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instrText xml:space="preserve"> HYPERLINK "mailto:caoxx@cnis.ac.cn," </w:instrTex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微软雅黑" w:hAnsi="微软雅黑" w:eastAsia="微软雅黑" w:cs="微软雅黑"/>
                      <w:i w:val="0"/>
                      <w:iCs w:val="0"/>
                      <w:kern w:val="0"/>
                      <w:sz w:val="21"/>
                      <w:szCs w:val="21"/>
                      <w:lang w:val="en-US" w:eastAsia="zh-CN" w:bidi="ar"/>
                    </w:rPr>
                    <w:t>caoxx@cnis.ac.cn,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instrText xml:space="preserve"> HYPERLINK "mailto:fangluofan@163.com" </w:instrTex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微软雅黑" w:hAnsi="微软雅黑" w:eastAsia="微软雅黑" w:cs="微软雅黑"/>
                      <w:i w:val="0"/>
                      <w:iCs w:val="0"/>
                      <w:kern w:val="0"/>
                      <w:sz w:val="21"/>
                      <w:szCs w:val="21"/>
                      <w:lang w:val="en-US" w:eastAsia="zh-CN" w:bidi="ar"/>
                    </w:rPr>
                    <w:t>fangluofan@163.com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 w14:paraId="6C0360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534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085" w:type="dxa"/>
            <w:tcBorders>
              <w:tl2br w:val="nil"/>
              <w:tr2bl w:val="nil"/>
            </w:tcBorders>
            <w:vAlign w:val="center"/>
          </w:tcPr>
          <w:p w14:paraId="064AE321">
            <w:pPr>
              <w:wordWrap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For more information on the website: 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"https://www.cspress.cn/"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vertAlign w:val="baseline"/>
                <w:lang w:val="en-US" w:eastAsia="zh-CN"/>
              </w:rPr>
              <w:t>https://www.cspress.cn/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02362B39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雅宋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0A241"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18515" cy="495300"/>
          <wp:effectExtent l="0" t="0" r="635" b="0"/>
          <wp:docPr id="4" name="图片 4" descr="（蓝色）标准化杂志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（蓝色）标准化杂志社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1745"/>
    <w:rsid w:val="531C1745"/>
    <w:rsid w:val="6B1DABDD"/>
    <w:rsid w:val="790867AF"/>
    <w:rsid w:val="B78B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681</Characters>
  <Lines>0</Lines>
  <Paragraphs>0</Paragraphs>
  <TotalTime>4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2025-04-01T10:47:00Z</dcterms:created>
  <dc:creator>Administrator</dc:creator>
  <cp:lastModifiedBy>Administrator</cp:lastModifiedBy>
  <dcterms:modified xsi:type="dcterms:W3CDTF">2025-04-01T06:41:20Z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D3B58380E98847918160CD9A94FF7E30_11</vt:lpwstr>
  </property>
  <property fmtid="{D5CDD505-2E9C-101B-9397-08002B2CF9AE}" pid="4" name="KSOTemplateDocerSaveRecord">
    <vt:lpwstr>eyJoZGlkIjoiNTIwNTM3NWIzYzlhYTQ0ODU0NzlkMjk3ZDIyMTI2YzQiLCJ1c2VySWQiOiI0NjgzNzkzNjkifQ==</vt:lpwstr>
  </property>
</Properties>
</file>